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Spacing"/>
        <w:jc w:val="right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Spacing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  <w:t>ПЕРЕЧЕНЬ НОРМАТИВНЫХ ПРАВОВЫХ АКТОВ</w:t>
      </w:r>
    </w:p>
    <w:p>
      <w:pPr>
        <w:pStyle w:val="NoSpacing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  <w:t>в области охраны труда, вступающих в силу в марте и сентябре 2022 года</w:t>
      </w:r>
    </w:p>
    <w:p>
      <w:pPr>
        <w:pStyle w:val="NoSpacing"/>
        <w:jc w:val="center"/>
        <w:rPr>
          <w:rFonts w:ascii="Open Sans" w:hAnsi="Open Sans" w:cs="Open Sans"/>
          <w:b/>
          <w:b/>
          <w:sz w:val="16"/>
          <w:szCs w:val="16"/>
        </w:rPr>
      </w:pPr>
      <w:r>
        <w:rPr>
          <w:rFonts w:cs="Open Sans" w:ascii="Open Sans" w:hAnsi="Open Sans"/>
          <w:b/>
          <w:sz w:val="16"/>
          <w:szCs w:val="16"/>
        </w:rPr>
      </w:r>
    </w:p>
    <w:tbl>
      <w:tblPr>
        <w:tblStyle w:val="af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1"/>
        <w:gridCol w:w="2637"/>
        <w:gridCol w:w="1109"/>
        <w:gridCol w:w="2707"/>
        <w:gridCol w:w="414"/>
        <w:gridCol w:w="1936"/>
      </w:tblGrid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b/>
                <w:b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b/>
                <w:kern w:val="0"/>
                <w:sz w:val="14"/>
                <w:szCs w:val="14"/>
                <w:lang w:val="ru-RU" w:eastAsia="ru-RU" w:bidi="ar-SA"/>
              </w:rPr>
              <w:t xml:space="preserve">№ </w:t>
            </w:r>
            <w:r>
              <w:rPr>
                <w:rFonts w:eastAsia="Calibri" w:cs="Open Sans" w:ascii="Open Sans" w:hAnsi="Open Sans"/>
                <w:b/>
                <w:kern w:val="0"/>
                <w:sz w:val="14"/>
                <w:szCs w:val="14"/>
                <w:lang w:val="ru-RU" w:eastAsia="ru-RU" w:bidi="ar-SA"/>
              </w:rPr>
              <w:t>п/п</w:t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b/>
                <w:b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b/>
                <w:kern w:val="0"/>
                <w:sz w:val="14"/>
                <w:szCs w:val="14"/>
                <w:lang w:val="ru-RU" w:eastAsia="ru-RU" w:bidi="ar-SA"/>
              </w:rPr>
              <w:t>Наименование НПА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b/>
                <w:b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b/>
                <w:kern w:val="0"/>
                <w:sz w:val="14"/>
                <w:szCs w:val="14"/>
                <w:lang w:val="ru-RU" w:eastAsia="ru-RU" w:bidi="ar-SA"/>
              </w:rPr>
              <w:t>Дата вступления в силу</w:t>
            </w:r>
          </w:p>
        </w:tc>
        <w:tc>
          <w:tcPr>
            <w:tcW w:w="5057" w:type="dxa"/>
            <w:gridSpan w:val="3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b/>
                <w:b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b/>
                <w:kern w:val="0"/>
                <w:sz w:val="14"/>
                <w:szCs w:val="14"/>
                <w:lang w:val="ru-RU" w:eastAsia="ru-RU" w:bidi="ar-SA"/>
              </w:rPr>
              <w:t>Необходимость внеочередной проверки знаний требований охраны труда: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b/>
                <w:b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b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b/>
                <w:b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b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b/>
                <w:b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b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b/>
                <w:b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b/>
                <w:kern w:val="0"/>
                <w:sz w:val="14"/>
                <w:szCs w:val="14"/>
                <w:lang w:val="ru-RU" w:eastAsia="ru-RU" w:bidi="ar-SA"/>
              </w:rPr>
              <w:t>категория работников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b/>
                <w:b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b/>
                <w:kern w:val="0"/>
                <w:sz w:val="14"/>
                <w:szCs w:val="14"/>
                <w:lang w:val="ru-RU" w:eastAsia="ru-RU" w:bidi="ar-SA"/>
              </w:rPr>
              <w:t>+/-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b/>
                <w:b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b/>
                <w:kern w:val="0"/>
                <w:sz w:val="14"/>
                <w:szCs w:val="14"/>
                <w:lang w:val="ru-RU" w:eastAsia="ru-RU" w:bidi="ar-SA"/>
              </w:rPr>
              <w:t>содержание проверки знаний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Федеральный закон от 02.07.2021 № 311-ФЗ «О внесении изменений в Трудовой кодекс Российской Федерации»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29.10.2021 № 776н «Об утверждении Примерного положения о системе управления охраной труда»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обязанностей и ответственности в области обеспечения функционирования системы управления охраной труда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22.09.2021 № 650н «Об утверждении примерного положения о комитете (комиссии) по охране труда»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  <w:bookmarkStart w:id="0" w:name="_Ref92879813"/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2"/>
            </w:r>
            <w:bookmarkEnd w:id="0"/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  <w:r>
              <w:fldChar w:fldCharType="begin"/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instrText xml:space="preserve">NOTEREF _Ref92879813 \f  \* MERGEFORMAT</w:instrText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fldChar w:fldCharType="separate"/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rStyle w:val="FootnoteCharacters"/>
                <w:rFonts w:eastAsia="Calibri" w:cs="Open Sans" w:ascii="Open Sans" w:hAnsi="Open Sans"/>
                <w:kern w:val="0"/>
                <w:sz w:val="14"/>
                <w:szCs w:val="14"/>
                <w:lang w:val="ru-RU" w:eastAsia="en-US" w:bidi="ar-SA"/>
              </w:rPr>
              <w:t>1</w:t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fldChar w:fldCharType="end"/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31.01.2022 № 37 «Об утверждении Рекомендаций по структуре службы охраны труда в организации и численности работников службы охраны труда»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основных функций службы охраны труда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основных функций службы охраны труда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29.10.2021 № 773н «Об утверждении форм (способов) и рекомендаций по размещению работодателем информационных материалов в целях информирования работников об их трудовых правах, включая права на безопасные условия и охрану труда, и примерного перечня таких информационных материалов»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обязательных и дополнительных способов информирования работников об условиях и охраны труда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обязательных форм информирования об условиях и охране труда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17.12.2021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3"/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обязательных и дополнительных способов информирования работников об условиях и охраны труда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обязательных форм информирования об условиях и охране труда</w:t>
            </w:r>
          </w:p>
        </w:tc>
      </w:tr>
      <w:tr>
        <w:trPr>
          <w:trHeight w:val="1027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22.10.2021 № 757н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формы сертификата эксперта и порядка допуска к сведениям, содержащимся в реестре экспертов</w:t>
            </w:r>
          </w:p>
        </w:tc>
      </w:tr>
      <w:tr>
        <w:trPr>
          <w:trHeight w:val="1028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  <w:bookmarkStart w:id="1" w:name="_Ref92880402"/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4"/>
            </w:r>
            <w:bookmarkEnd w:id="1"/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1027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формы сертификата эксперта и порядка допуска к сведениям, содержащимся в реестре экспертов</w:t>
            </w:r>
          </w:p>
        </w:tc>
      </w:tr>
      <w:tr>
        <w:trPr>
          <w:trHeight w:val="1028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  <w:r>
              <w:fldChar w:fldCharType="begin"/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instrText xml:space="preserve">NOTEREF _Ref92880402 \f  \* MERGEFORMAT</w:instrText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fldChar w:fldCharType="separate"/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rStyle w:val="FootnoteCharacters"/>
                <w:rFonts w:eastAsia="Calibri" w:cs="Open Sans" w:ascii="Open Sans" w:hAnsi="Open Sans"/>
                <w:kern w:val="0"/>
                <w:sz w:val="14"/>
                <w:szCs w:val="14"/>
                <w:lang w:val="ru-RU" w:eastAsia="en-US" w:bidi="ar-SA"/>
              </w:rPr>
              <w:t>2</w:t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fldChar w:fldCharType="end"/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74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17.06.2021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формы и порядка подачи декларации соответствия условий труда, а также порядка допуска к сведениям, содержащимся в реестре деклараций</w:t>
            </w:r>
          </w:p>
        </w:tc>
      </w:tr>
      <w:tr>
        <w:trPr>
          <w:trHeight w:val="74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5"/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74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формы и порядка подачи декларации соответствия условий труда, а также порядка допуска к сведениям, содержащимся в реестре деклараций</w:t>
            </w:r>
          </w:p>
        </w:tc>
      </w:tr>
      <w:tr>
        <w:trPr>
          <w:trHeight w:val="74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Распоряжение Правительства РФ от 04.12.2021 № 3455-р</w:t>
            </w:r>
            <w:r>
              <w:rPr>
                <w:rFonts w:eastAsia="Calibri" w:cs="Open Sans" w:ascii="Open Sans" w:hAnsi="Open Sans"/>
                <w:caps w:val="false"/>
                <w:smallCaps w:val="false"/>
                <w:color w:val="00589B"/>
                <w:spacing w:val="0"/>
                <w:kern w:val="0"/>
                <w:sz w:val="14"/>
                <w:szCs w:val="14"/>
                <w:lang w:val="ru-RU" w:eastAsia="ru-RU" w:bidi="ar-SA"/>
              </w:rPr>
              <w:t> </w:t>
            </w:r>
            <w:r>
              <w:rPr>
                <w:rFonts w:eastAsia="Calibri" w:cs="Open Sans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14"/>
                <w:szCs w:val="14"/>
                <w:lang w:val="ru-RU" w:eastAsia="ru-RU" w:bidi="ar-SA"/>
              </w:rPr>
              <w:t>&lt;Об утверждении перечня работ, на которые не распространяется запрет, установленный статьей 214.1 Трудового кодекса Российской Федерации&gt;</w:t>
            </w:r>
            <w:r>
              <w:rPr>
                <w:rFonts w:eastAsia="Calibri" w:cs="Open Sans" w:ascii="Times New Roman" w:hAnsi="Times New Roman"/>
                <w:b w:val="false"/>
                <w:bCs w:val="false"/>
                <w:color w:val="000000"/>
                <w:kern w:val="0"/>
                <w:sz w:val="14"/>
                <w:szCs w:val="14"/>
                <w:lang w:val="ru-RU" w:eastAsia="ru-RU" w:bidi="ar-SA"/>
              </w:rPr>
              <w:t xml:space="preserve"> 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val="en-US"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en-US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перечня работ, выполнение которых допускается в опасных условиях труда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val="en-US"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en-US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val="en-US"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en-US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перечня работ, выполнение которых допускается в опасных условиях труда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val="en-US"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en-US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Постановление Правительства Российской Федерации от 16.12.2021 № 2332 «О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Постановление Правительства Российской Федерации от 16.12.2021 № 2333 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28.12.2021 № 796 «Об утверждении Рекомендаций по выбору методов оценки уровней профессиональных рисков и по снижению уровней таких рисков»</w:t>
            </w:r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6"/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 в целях определения методики оценки профессиональных рисков в организации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31.01.2022 № 36 «Об утверждении Рекомендаций по классификации, обнаружению, распознаванию и описанию опасностей»</w:t>
            </w:r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7"/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Постановление Правительства Российской Федерации от 24.12.2021 № 2464 «О порядке обучения по охране труда и проверки знания требований охраны труда»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видов обучения по охране труда и категорий обучаемых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Постановление Правительства Российской Федерации от 16.12.2021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Минздрава России от 11.02.2022 № 75н «Об утверждении Порядка проведения обязательных медицинских осмотров до рабочей смены, медицинских осмотров в течение рабочей смены (при необходимости) и медицинских осмотров после рабочей смены (при необходимости) работников, занятых на подземных работах с опасными и (или) вредными условиями труда по добыче (переработке) угля (горючих сланцев), в том числе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а также перечень включаемых в них исследований»</w:t>
            </w:r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8"/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проведения медицинских осмотров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проведения медицинских осмотров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проведения медицинских осмотров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проведения медицинских осмотров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проведения медицинских осмотров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проведения медицинских осмотров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проведения медицинских осмотров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Минздрава России от 20.05.2022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Постановление Правительства Российской Федерации от 26.02.2022 № 255 «О разработке, утверждении и изменении нормативных правовых актов федеральных органов исполнительной власти, содержащих государственные нормативные требования охраны труда»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29.10.2021 № 774н «Об утверждении общих требований к организации безопасного рабочего места»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22.09.2021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услуг)) на территории, находящейся под контролем другого работодателя (иного лица)»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мероприятий, находящихся в зоне ответственности руководителей подразделений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14.09.2021 № 629н «Об утверждении предельно допустимых норм нагрузок для женщин при подъеме и перемещении тяжестей вручную»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  <w:bookmarkStart w:id="2" w:name="_Ref92895282"/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9"/>
            </w:r>
            <w:bookmarkEnd w:id="2"/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  <w:r>
              <w:fldChar w:fldCharType="begin"/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instrText xml:space="preserve">NOTEREF _Ref92895282 \f  \* MERGEFORMAT</w:instrText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fldChar w:fldCharType="separate"/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rStyle w:val="FootnoteCharacters"/>
                <w:rFonts w:eastAsia="Calibri" w:cs="Open Sans" w:ascii="Open Sans" w:hAnsi="Open Sans"/>
                <w:kern w:val="0"/>
                <w:sz w:val="14"/>
                <w:szCs w:val="14"/>
                <w:lang w:val="ru-RU" w:eastAsia="en-US" w:bidi="ar-SA"/>
              </w:rPr>
              <w:t>6</w:t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fldChar w:fldCharType="end"/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13.05.2021 № 313н «О внесении изменений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  <w:r>
              <w:fldChar w:fldCharType="begin"/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instrText xml:space="preserve">NOTEREF _Ref92895282 \f  \* MERGEFORMAT</w:instrText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fldChar w:fldCharType="separate"/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rStyle w:val="FootnoteCharacters"/>
                <w:rFonts w:eastAsia="Calibri" w:cs="Open Sans" w:ascii="Open Sans" w:hAnsi="Open Sans"/>
                <w:kern w:val="0"/>
                <w:sz w:val="14"/>
                <w:szCs w:val="14"/>
                <w:lang w:val="ru-RU" w:eastAsia="en-US" w:bidi="ar-SA"/>
              </w:rPr>
              <w:t>6</w:t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fldChar w:fldCharType="end"/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  <w:r>
              <w:fldChar w:fldCharType="begin"/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instrText xml:space="preserve">NOTEREF _Ref92895282 \f  \* MERGEFORMAT</w:instrText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fldChar w:fldCharType="separate"/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rStyle w:val="FootnoteCharacters"/>
                <w:rFonts w:eastAsia="Calibri" w:cs="Open Sans" w:ascii="Open Sans" w:hAnsi="Open Sans"/>
                <w:kern w:val="0"/>
                <w:sz w:val="14"/>
                <w:szCs w:val="14"/>
                <w:lang w:val="ru-RU" w:eastAsia="en-US" w:bidi="ar-SA"/>
              </w:rPr>
              <w:t>6</w:t>
            </w: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</w:r>
            <w:r>
              <w:rPr>
                <w:sz w:val="14"/>
                <w:kern w:val="0"/>
                <w:szCs w:val="14"/>
                <w:rFonts w:eastAsia="Calibri" w:cs="Open Sans" w:ascii="Open Sans" w:hAnsi="Open Sans"/>
                <w:lang w:val="ru-RU" w:eastAsia="ru-RU" w:bidi="ar-SA"/>
              </w:rPr>
              <w:fldChar w:fldCharType="end"/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29.04.2022 № 279н «О внесении изменений в Правила по охране труда при эксплуатации электроустановок, утвержденные приказом Министерства труда и социальной защиты Российской Федерации от 15 декабря 2020 г. № 903н»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20.04.2022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15.09.2021 № 632н «Об утверждении рекомендаций по учету микроповреждений (микротравм) работников»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16.05.2022 № 298н «Об утверждении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норм бесплатной выдачи витаминных препаратов, а также норм и условий бесплатной выдачи лечебно-профилактического питания»</w:t>
            </w:r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10"/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обеспечения ЛПП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обеспечения ЛПП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обеспечения ЛПП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12.05.2022 № 291н «Об утверждении Перечня вредных производственных факторов на рабочих местах, на которых по результатам проведения специальной оценки условий труда установлены вредные условия труда и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молока или других равноценных пищевых продуктов, порядка осуществления компенсационной выплаты, в размере, эквивалентном стоимости молока или других равноценных пищевых продуктов»</w:t>
            </w:r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11"/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обеспечения молоком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обеспечения молоком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порядка обеспечения молоком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Минтранса России от 11.10.2021 № 339 «Об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поездов»</w:t>
            </w:r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12"/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13"/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Минтранса России от 12.01.2022 № 5 «О внесении изменений в Особенности режима рабочего времени и времени отдыха, условий труда водителей автомобилей, утвержденные приказом Министерства транспорта Российской Федерации от 16 октября 2020 г. N 424»</w:t>
            </w:r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14"/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01.09.2022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  <w:r>
              <w:rPr>
                <w:rStyle w:val="Style13"/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footnoteReference w:id="15"/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29.10.2021 № 775н «Об утверждении Порядка проведения государственной экспертизы условий труда»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части реализации права на проведение государственной экспертизы условий труда по инициативе работника в случае несогласия с результатами проведения СОУТ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28.10.2021 № 765н «Об утверждении типовых форм документов, необходимых для проведения государственной экспертизы условий труда»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23.12.2021 № 910 «Об утверждении перечня индикативных показателей, применяемых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Роструда от 01.02.2022 № 20 «Об утверждении форм проверочных листов (списков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11.03.2022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Постановление Правительства Российской Федерации от 27.01.2022 № 53 «О внесении изменений в Положение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02.03.2022 № 97н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14 июля 2021 г. № 467н»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01.07.2022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Приказ Минтруда России от 29.10.2021 № 771н «Об утверждении примерного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  <w:tc>
          <w:tcPr>
            <w:tcW w:w="1109" w:type="dxa"/>
            <w:vMerge w:val="restart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01.03.2022</w:t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руководители подразделений (за исключением службы охраны труда)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работники службы охраны труда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+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в полном объеме</w:t>
            </w:r>
          </w:p>
        </w:tc>
      </w:tr>
      <w:tr>
        <w:trPr>
          <w:trHeight w:val="20" w:hRule="atLeast"/>
        </w:trPr>
        <w:tc>
          <w:tcPr>
            <w:tcW w:w="551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637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1109" w:type="dxa"/>
            <w:vMerge w:val="continue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cs="Open Sans" w:ascii="Open Sans" w:hAnsi="Open Sans"/>
                <w:sz w:val="14"/>
                <w:szCs w:val="14"/>
                <w:lang w:eastAsia="ru-RU"/>
              </w:rPr>
            </w:r>
          </w:p>
        </w:tc>
        <w:tc>
          <w:tcPr>
            <w:tcW w:w="270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специалисты подразделений (за исключением службы охраны труда) и работники рабочих профессий</w:t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  <w:tc>
          <w:tcPr>
            <w:tcW w:w="193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Open Sans" w:hAnsi="Open Sans" w:cs="Open Sans"/>
                <w:sz w:val="14"/>
                <w:szCs w:val="14"/>
                <w:lang w:eastAsia="ru-RU"/>
              </w:rPr>
            </w:pPr>
            <w:r>
              <w:rPr>
                <w:rFonts w:eastAsia="Calibri" w:cs="Open Sans" w:ascii="Open Sans" w:hAnsi="Open Sans"/>
                <w:kern w:val="0"/>
                <w:sz w:val="14"/>
                <w:szCs w:val="14"/>
                <w:lang w:val="ru-RU" w:eastAsia="ru-RU" w:bidi="ar-SA"/>
              </w:rPr>
              <w:t>-</w:t>
            </w:r>
          </w:p>
        </w:tc>
      </w:tr>
    </w:tbl>
    <w:p>
      <w:pPr>
        <w:pStyle w:val="NoSpacing"/>
        <w:jc w:val="both"/>
        <w:rPr>
          <w:rFonts w:ascii="Open Sans" w:hAnsi="Open Sans" w:cs="Open Sans"/>
          <w:sz w:val="16"/>
          <w:szCs w:val="16"/>
        </w:rPr>
      </w:pPr>
      <w:r>
        <w:rPr>
          <w:rFonts w:cs="Open Sans" w:ascii="Open Sans" w:hAnsi="Open Sans"/>
          <w:sz w:val="16"/>
          <w:szCs w:val="16"/>
        </w:rPr>
      </w:r>
    </w:p>
    <w:p>
      <w:pPr>
        <w:pStyle w:val="Normal"/>
        <w:spacing w:before="0" w:after="160"/>
        <w:rPr>
          <w:rFonts w:ascii="Open Sans" w:hAnsi="Open Sans" w:cs="Open Sans"/>
          <w:sz w:val="16"/>
          <w:szCs w:val="16"/>
        </w:rPr>
      </w:pPr>
      <w:r>
        <w:rPr/>
      </w:r>
    </w:p>
    <w:sectPr>
      <w:headerReference w:type="first" r:id="rId2"/>
      <w:footerReference w:type="default" r:id="rId3"/>
      <w:footerReference w:type="first" r:id="rId4"/>
      <w:footnotePr>
        <w:numFmt w:val="decimal"/>
      </w:footnotePr>
      <w:type w:val="nextPage"/>
      <w:pgSz w:w="11906" w:h="16838"/>
      <w:pgMar w:left="1701" w:right="850" w:gutter="0" w:header="708" w:top="851" w:footer="315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 San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jc w:val="right"/>
      <w:rPr>
        <w:rFonts w:ascii="Open Sans" w:hAnsi="Open Sans" w:cs="Open Sans"/>
        <w:b/>
        <w:b/>
        <w:color w:val="1C84BA"/>
        <w:sz w:val="18"/>
        <w:szCs w:val="18"/>
      </w:rPr>
    </w:pPr>
    <w:r>
      <w:rPr>
        <w:rFonts w:cs="Open Sans" w:ascii="Open Sans" w:hAnsi="Open Sans"/>
        <w:b/>
        <w:color w:val="1C84BA"/>
        <w:sz w:val="18"/>
        <w:szCs w:val="18"/>
      </w:rPr>
      <w:t>ООО «СМАРТА»</w:t>
    </w:r>
  </w:p>
  <w:p>
    <w:pPr>
      <w:pStyle w:val="NoSpacing"/>
      <w:jc w:val="right"/>
      <w:rPr>
        <w:rFonts w:ascii="Open Sans" w:hAnsi="Open Sans" w:cs="Open Sans"/>
        <w:color w:val="595959"/>
        <w:sz w:val="18"/>
        <w:szCs w:val="18"/>
      </w:rPr>
    </w:pPr>
    <w:r>
      <w:rPr>
        <w:rFonts w:cs="Open Sans" w:ascii="Open Sans" w:hAnsi="Open Sans"/>
        <w:color w:val="595959" w:themeColor="text1" w:themeTint="a6"/>
        <w:sz w:val="18"/>
        <w:szCs w:val="18"/>
      </w:rPr>
      <w:t>г. Москва, ул. Скаковая 32с2</w:t>
    </w:r>
  </w:p>
  <w:p>
    <w:pPr>
      <w:pStyle w:val="NoSpacing"/>
      <w:jc w:val="right"/>
      <w:rPr>
        <w:rFonts w:ascii="Open Sans" w:hAnsi="Open Sans" w:cs="Open Sans"/>
        <w:b/>
        <w:b/>
        <w:color w:val="1C84BA"/>
        <w:sz w:val="18"/>
        <w:szCs w:val="18"/>
      </w:rPr>
    </w:pPr>
    <w:hyperlink r:id="rId1" w:tgtFrame="mailto:sales@smarta.life">
      <w:r>
        <w:rPr>
          <w:rFonts w:cs="Open Sans" w:ascii="Open Sans" w:hAnsi="Open Sans"/>
          <w:b/>
          <w:color w:val="1C84BA"/>
          <w:sz w:val="18"/>
          <w:szCs w:val="18"/>
        </w:rPr>
        <w:t>sales@smarta.life</w:t>
      </w:r>
    </w:hyperlink>
    <w:r>
      <w:rPr>
        <w:rFonts w:cs="Open Sans" w:ascii="Open Sans" w:hAnsi="Open Sans"/>
        <w:b/>
        <w:color w:val="1C84BA"/>
        <w:sz w:val="18"/>
        <w:szCs w:val="18"/>
      </w:rPr>
      <w:t xml:space="preserve">  |  </w:t>
    </w:r>
    <w:r>
      <w:rPr>
        <w:rFonts w:cs="Open Sans" w:ascii="Open Sans" w:hAnsi="Open Sans"/>
        <w:b/>
        <w:color w:val="1C84BA"/>
        <w:sz w:val="18"/>
        <w:szCs w:val="18"/>
        <w:lang w:val="en-US"/>
      </w:rPr>
      <w:t>www</w:t>
    </w:r>
    <w:r>
      <w:rPr>
        <w:rFonts w:cs="Open Sans" w:ascii="Open Sans" w:hAnsi="Open Sans"/>
        <w:b/>
        <w:color w:val="1C84BA"/>
        <w:sz w:val="18"/>
        <w:szCs w:val="18"/>
      </w:rPr>
      <w:t>.</w:t>
    </w:r>
    <w:r>
      <w:rPr>
        <w:rFonts w:cs="Open Sans" w:ascii="Open Sans" w:hAnsi="Open Sans"/>
        <w:b/>
        <w:color w:val="1C84BA"/>
        <w:sz w:val="18"/>
        <w:szCs w:val="18"/>
        <w:lang w:val="en-US"/>
      </w:rPr>
      <w:t>smarta</w:t>
    </w:r>
    <w:r>
      <w:rPr>
        <w:rFonts w:cs="Open Sans" w:ascii="Open Sans" w:hAnsi="Open Sans"/>
        <w:b/>
        <w:color w:val="1C84BA"/>
        <w:sz w:val="18"/>
        <w:szCs w:val="18"/>
      </w:rPr>
      <w:t>.</w:t>
    </w:r>
    <w:r>
      <w:rPr>
        <w:rFonts w:cs="Open Sans" w:ascii="Open Sans" w:hAnsi="Open Sans"/>
        <w:b/>
        <w:color w:val="1C84BA"/>
        <w:sz w:val="18"/>
        <w:szCs w:val="18"/>
        <w:lang w:val="en-US"/>
      </w:rPr>
      <w:t>life</w:t>
    </w:r>
  </w:p>
  <w:p>
    <w:pPr>
      <w:pStyle w:val="NoSpacing"/>
      <w:jc w:val="right"/>
      <w:rPr>
        <w:rFonts w:ascii="Open Sans" w:hAnsi="Open Sans" w:cs="Open Sans"/>
        <w:sz w:val="18"/>
        <w:szCs w:val="18"/>
      </w:rPr>
    </w:pPr>
    <w:r>
      <w:rPr>
        <w:rFonts w:cs="Open Sans" w:ascii="Open Sans" w:hAnsi="Open Sans"/>
        <w:sz w:val="18"/>
        <w:szCs w:val="18"/>
      </w:rPr>
      <w:t>8-800-350-85-21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jc w:val="right"/>
      <w:rPr>
        <w:rFonts w:ascii="Open Sans" w:hAnsi="Open Sans" w:cs="Open Sans"/>
        <w:b/>
        <w:b/>
        <w:color w:val="1C84BA"/>
        <w:sz w:val="18"/>
        <w:szCs w:val="18"/>
      </w:rPr>
    </w:pPr>
    <w:r>
      <w:rPr>
        <w:rFonts w:cs="Open Sans" w:ascii="Open Sans" w:hAnsi="Open Sans"/>
        <w:b/>
        <w:color w:val="1C84BA"/>
        <w:sz w:val="18"/>
        <w:szCs w:val="18"/>
      </w:rPr>
      <w:t>ООО «СМАРТА»</w:t>
    </w:r>
  </w:p>
  <w:p>
    <w:pPr>
      <w:pStyle w:val="NoSpacing"/>
      <w:jc w:val="right"/>
      <w:rPr>
        <w:rFonts w:ascii="Open Sans" w:hAnsi="Open Sans" w:cs="Open Sans"/>
        <w:color w:val="595959"/>
        <w:sz w:val="18"/>
        <w:szCs w:val="18"/>
      </w:rPr>
    </w:pPr>
    <w:r>
      <w:rPr>
        <w:rFonts w:cs="Open Sans" w:ascii="Open Sans" w:hAnsi="Open Sans"/>
        <w:color w:val="595959" w:themeColor="text1" w:themeTint="a6"/>
        <w:sz w:val="18"/>
        <w:szCs w:val="18"/>
      </w:rPr>
      <w:t>г. Москва, ул. Скаковая 32с2</w:t>
    </w:r>
  </w:p>
  <w:p>
    <w:pPr>
      <w:pStyle w:val="NoSpacing"/>
      <w:jc w:val="right"/>
      <w:rPr>
        <w:rFonts w:ascii="Open Sans" w:hAnsi="Open Sans" w:cs="Open Sans"/>
        <w:b/>
        <w:b/>
        <w:color w:val="1C84BA"/>
        <w:sz w:val="18"/>
        <w:szCs w:val="18"/>
      </w:rPr>
    </w:pPr>
    <w:hyperlink r:id="rId1" w:tgtFrame="mailto:sales@smarta.life">
      <w:r>
        <w:rPr>
          <w:rFonts w:cs="Open Sans" w:ascii="Open Sans" w:hAnsi="Open Sans"/>
          <w:b/>
          <w:color w:val="1C84BA"/>
          <w:sz w:val="18"/>
          <w:szCs w:val="18"/>
        </w:rPr>
        <w:t>sales@smarta.life</w:t>
      </w:r>
    </w:hyperlink>
    <w:r>
      <w:rPr>
        <w:rFonts w:cs="Open Sans" w:ascii="Open Sans" w:hAnsi="Open Sans"/>
        <w:b/>
        <w:color w:val="1C84BA"/>
        <w:sz w:val="18"/>
        <w:szCs w:val="18"/>
      </w:rPr>
      <w:t xml:space="preserve">  |  </w:t>
    </w:r>
    <w:r>
      <w:rPr>
        <w:rFonts w:cs="Open Sans" w:ascii="Open Sans" w:hAnsi="Open Sans"/>
        <w:b/>
        <w:color w:val="1C84BA"/>
        <w:sz w:val="18"/>
        <w:szCs w:val="18"/>
        <w:lang w:val="en-US"/>
      </w:rPr>
      <w:t>www</w:t>
    </w:r>
    <w:r>
      <w:rPr>
        <w:rFonts w:cs="Open Sans" w:ascii="Open Sans" w:hAnsi="Open Sans"/>
        <w:b/>
        <w:color w:val="1C84BA"/>
        <w:sz w:val="18"/>
        <w:szCs w:val="18"/>
      </w:rPr>
      <w:t>.</w:t>
    </w:r>
    <w:r>
      <w:rPr>
        <w:rFonts w:cs="Open Sans" w:ascii="Open Sans" w:hAnsi="Open Sans"/>
        <w:b/>
        <w:color w:val="1C84BA"/>
        <w:sz w:val="18"/>
        <w:szCs w:val="18"/>
        <w:lang w:val="en-US"/>
      </w:rPr>
      <w:t>smarta</w:t>
    </w:r>
    <w:r>
      <w:rPr>
        <w:rFonts w:cs="Open Sans" w:ascii="Open Sans" w:hAnsi="Open Sans"/>
        <w:b/>
        <w:color w:val="1C84BA"/>
        <w:sz w:val="18"/>
        <w:szCs w:val="18"/>
      </w:rPr>
      <w:t>.</w:t>
    </w:r>
    <w:r>
      <w:rPr>
        <w:rFonts w:cs="Open Sans" w:ascii="Open Sans" w:hAnsi="Open Sans"/>
        <w:b/>
        <w:color w:val="1C84BA"/>
        <w:sz w:val="18"/>
        <w:szCs w:val="18"/>
        <w:lang w:val="en-US"/>
      </w:rPr>
      <w:t>life</w:t>
    </w:r>
  </w:p>
  <w:p>
    <w:pPr>
      <w:pStyle w:val="NoSpacing"/>
      <w:jc w:val="right"/>
      <w:rPr>
        <w:rFonts w:ascii="Open Sans" w:hAnsi="Open Sans" w:cs="Open Sans"/>
        <w:sz w:val="18"/>
        <w:szCs w:val="18"/>
      </w:rPr>
    </w:pPr>
    <w:r>
      <w:rPr>
        <w:rFonts w:cs="Open Sans" w:ascii="Open Sans" w:hAnsi="Open Sans"/>
        <w:sz w:val="18"/>
        <w:szCs w:val="18"/>
      </w:rPr>
      <w:t>8-800-350-85-21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2"/>
        <w:widowControl w:val="false"/>
        <w:jc w:val="both"/>
        <w:rPr>
          <w:rFonts w:ascii="Open Sans" w:hAnsi="Open Sans" w:cs="Open Sans"/>
          <w:sz w:val="16"/>
        </w:rPr>
      </w:pPr>
      <w:r>
        <w:rPr>
          <w:rStyle w:val="Style18"/>
        </w:rPr>
        <w:footnoteRef/>
      </w:r>
      <w:r>
        <w:rPr>
          <w:rFonts w:cs="Open Sans" w:ascii="Open Sans" w:hAnsi="Open Sans"/>
          <w:sz w:val="16"/>
        </w:rPr>
        <w:t xml:space="preserve"> </w:t>
      </w:r>
      <w:r>
        <w:rPr>
          <w:rFonts w:cs="Open Sans" w:ascii="Open Sans" w:hAnsi="Open Sans"/>
          <w:sz w:val="16"/>
        </w:rPr>
        <w:t>за исключением лиц, входящих в состав комитета (комиссии) по охране труда, проходящих проверку знаний требований указанного нормативного правового акта в полном объеме</w:t>
      </w:r>
    </w:p>
  </w:footnote>
  <w:footnote w:id="3">
    <w:p>
      <w:pPr>
        <w:pStyle w:val="Style32"/>
        <w:widowControl w:val="false"/>
        <w:rPr>
          <w:rFonts w:ascii="Open Sans" w:hAnsi="Open Sans" w:cs="Open Sans"/>
          <w:sz w:val="16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rFonts w:cs="Open Sans" w:ascii="Open Sans" w:hAnsi="Open Sans"/>
          <w:sz w:val="16"/>
        </w:rPr>
        <w:t>не является нормативным правовым актом, содержащим государственные нормативные требования охраны труда</w:t>
      </w:r>
    </w:p>
  </w:footnote>
  <w:footnote w:id="4">
    <w:p>
      <w:pPr>
        <w:pStyle w:val="Style32"/>
        <w:widowControl w:val="false"/>
        <w:jc w:val="both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>
          <w:rFonts w:cs="Open Sans" w:ascii="Open Sans" w:hAnsi="Open Sans"/>
          <w:sz w:val="16"/>
          <w:szCs w:val="16"/>
          <w:vertAlign w:val="superscript"/>
          <w:lang w:eastAsia="ru-RU"/>
        </w:rPr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за исключением лиц, входящих в состав комиссии организации по проведению специальной оценки условий труда, проходящих проверку знаний требований указанного нормативного правового акта в части формы сертификата эксперта и порядка допуска к сведениям, содержащимся в реестре экспертов</w:t>
      </w:r>
    </w:p>
  </w:footnote>
  <w:footnote w:id="5">
    <w:p>
      <w:pPr>
        <w:pStyle w:val="Style32"/>
        <w:widowControl w:val="false"/>
        <w:jc w:val="both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>
          <w:rFonts w:cs="Open Sans" w:ascii="Open Sans" w:hAnsi="Open Sans"/>
          <w:sz w:val="16"/>
          <w:szCs w:val="16"/>
          <w:vertAlign w:val="superscript"/>
          <w:lang w:eastAsia="ru-RU"/>
        </w:rPr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за исключением лиц, входящих в состав комиссии организации по проведению специальной оценки условий труда, проходящих проверку знаний требований указанного нормативного правового акта в части формы и порядка подачи декларации соответствия условий труда, а также порядка допуска к сведениям, содержащимся в реестре деклараций</w:t>
      </w:r>
    </w:p>
  </w:footnote>
  <w:footnote w:id="6">
    <w:p>
      <w:pPr>
        <w:pStyle w:val="Style32"/>
        <w:widowControl w:val="false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>
          <w:rFonts w:cs="Open Sans" w:ascii="Open Sans" w:hAnsi="Open Sans"/>
          <w:sz w:val="16"/>
          <w:szCs w:val="16"/>
          <w:lang w:eastAsia="ru-RU"/>
        </w:rPr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не является нормативным правовым актом, содержащим государственные нормативные требования охраны труда</w:t>
      </w:r>
    </w:p>
  </w:footnote>
  <w:footnote w:id="7">
    <w:p>
      <w:pPr>
        <w:pStyle w:val="Style32"/>
        <w:widowControl w:val="false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>
          <w:rFonts w:cs="Open Sans" w:ascii="Open Sans" w:hAnsi="Open Sans"/>
          <w:sz w:val="16"/>
          <w:szCs w:val="16"/>
          <w:lang w:eastAsia="ru-RU"/>
        </w:rPr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не является нормативным правовым актом, содержащим государственные нормативные требования охраны труда</w:t>
      </w:r>
    </w:p>
  </w:footnote>
  <w:footnote w:id="8">
    <w:p>
      <w:pPr>
        <w:pStyle w:val="Style32"/>
        <w:widowControl w:val="false"/>
        <w:rPr>
          <w:rFonts w:ascii="Open Sans" w:hAnsi="Open Sans" w:cs="Open Sans"/>
          <w:sz w:val="16"/>
          <w:szCs w:val="16"/>
          <w:lang w:eastAsia="ru-RU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только для организаций по добыче (переработке) угля (горючих сланцев)</w:t>
      </w:r>
    </w:p>
  </w:footnote>
  <w:footnote w:id="9">
    <w:p>
      <w:pPr>
        <w:pStyle w:val="Style32"/>
        <w:widowControl w:val="false"/>
        <w:jc w:val="both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>
          <w:rFonts w:cs="Open Sans" w:ascii="Open Sans" w:hAnsi="Open Sans"/>
          <w:sz w:val="16"/>
          <w:szCs w:val="16"/>
          <w:lang w:eastAsia="ru-RU"/>
        </w:rPr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для структурных подразделений, в которых заняты лица женского пола, замещающие должности (выполняющие работы по профессии), связанные с подъемом и перемещением тяжестей в течение рабочей смены, и (или) выполняющие работы с вредными и (или) опасными условиями труда</w:t>
      </w:r>
    </w:p>
  </w:footnote>
  <w:footnote w:id="10">
    <w:p>
      <w:pPr>
        <w:pStyle w:val="Style32"/>
        <w:widowControl w:val="false"/>
        <w:rPr/>
      </w:pPr>
      <w:r>
        <w:rPr>
          <w:rStyle w:val="Style18"/>
        </w:rPr>
        <w:footnoteRef/>
      </w:r>
      <w:r>
        <w:rPr/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только для организаций, где работникам выдается ЛПП</w:t>
      </w:r>
    </w:p>
  </w:footnote>
  <w:footnote w:id="11">
    <w:p>
      <w:pPr>
        <w:pStyle w:val="Style32"/>
        <w:widowControl w:val="false"/>
        <w:rPr>
          <w:rFonts w:ascii="Open Sans" w:hAnsi="Open Sans" w:cs="Open Sans"/>
          <w:sz w:val="16"/>
          <w:szCs w:val="16"/>
          <w:lang w:eastAsia="ru-RU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только для организаций, где работникам выдается молоко</w:t>
      </w:r>
    </w:p>
  </w:footnote>
  <w:footnote w:id="12">
    <w:p>
      <w:pPr>
        <w:pStyle w:val="Style32"/>
        <w:widowControl w:val="false"/>
        <w:rPr>
          <w:rFonts w:ascii="Times New Roman" w:hAnsi="Times New Roman" w:cs="Times New Roman"/>
        </w:rPr>
      </w:pPr>
      <w:r>
        <w:rPr>
          <w:rStyle w:val="Style18"/>
        </w:rPr>
        <w:footnoteRef/>
      </w:r>
      <w:r>
        <w:rPr>
          <w:rFonts w:cs="Open Sans" w:ascii="Open Sans" w:hAnsi="Open Sans"/>
          <w:sz w:val="16"/>
          <w:szCs w:val="16"/>
          <w:lang w:eastAsia="ru-RU"/>
        </w:rPr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только для организаций железнодорожного транспорта</w:t>
      </w:r>
    </w:p>
  </w:footnote>
  <w:footnote w:id="13">
    <w:p>
      <w:pPr>
        <w:pStyle w:val="Style32"/>
        <w:widowControl w:val="false"/>
        <w:jc w:val="both"/>
        <w:rPr/>
      </w:pPr>
      <w:r>
        <w:rPr>
          <w:rStyle w:val="Style18"/>
        </w:rPr>
        <w:footnoteRef/>
      </w:r>
      <w:r>
        <w:rPr>
          <w:rFonts w:cs="Open Sans" w:ascii="Open Sans" w:hAnsi="Open Sans"/>
          <w:sz w:val="16"/>
          <w:szCs w:val="16"/>
          <w:lang w:eastAsia="ru-RU"/>
        </w:rPr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только для отдельных категорий работников железнодорожного транспорта, труд которых непосредственно связан с движением поездов</w:t>
      </w:r>
    </w:p>
  </w:footnote>
  <w:footnote w:id="14">
    <w:p>
      <w:pPr>
        <w:pStyle w:val="Style32"/>
        <w:widowControl w:val="false"/>
        <w:rPr/>
      </w:pPr>
      <w:r>
        <w:rPr>
          <w:rStyle w:val="Style18"/>
        </w:rPr>
        <w:footnoteRef/>
      </w:r>
      <w:r>
        <w:rPr/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только для организаций, эксплуатирующих автомобильный транспорт</w:t>
      </w:r>
    </w:p>
  </w:footnote>
  <w:footnote w:id="15">
    <w:p>
      <w:pPr>
        <w:pStyle w:val="Style32"/>
        <w:widowControl w:val="false"/>
        <w:jc w:val="both"/>
        <w:rPr/>
      </w:pPr>
      <w:r>
        <w:rPr>
          <w:rStyle w:val="Style18"/>
        </w:rPr>
        <w:footnoteRef/>
      </w:r>
      <w:r>
        <w:rPr>
          <w:rFonts w:cs="Open Sans" w:ascii="Open Sans" w:hAnsi="Open Sans"/>
          <w:sz w:val="16"/>
          <w:szCs w:val="16"/>
          <w:lang w:eastAsia="ru-RU"/>
        </w:rPr>
        <w:t xml:space="preserve"> </w:t>
      </w:r>
      <w:r>
        <w:rPr>
          <w:rFonts w:cs="Open Sans" w:ascii="Open Sans" w:hAnsi="Open Sans"/>
          <w:sz w:val="16"/>
          <w:szCs w:val="16"/>
          <w:lang w:eastAsia="ru-RU"/>
        </w:rPr>
        <w:t>только для водителей автомобилей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  <mc:AlternateContent>
        <mc:Choice Requires="wps">
          <w:drawing>
            <wp:anchor behindDoc="1" distT="0" distB="0" distL="635" distR="0" simplePos="0" locked="0" layoutInCell="0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000" cy="635000"/>
              <wp:effectExtent l="635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fillcolor="white" stroked="t" o:allowincell="f" style="position:absolute;margin-left:0.05pt;margin-top:0.05pt;width:49.95pt;height:49.95pt;mso-wrap-style:none;v-text-anchor:middle">
              <v:fill o:detectmouseclick="t" type="solid" color2="black"/>
              <v:stroke color="black" joinstyle="round" endcap="flat"/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6350</wp:posOffset>
          </wp:positionH>
          <wp:positionV relativeFrom="page">
            <wp:align>top</wp:align>
          </wp:positionV>
          <wp:extent cx="4253230" cy="704850"/>
          <wp:effectExtent l="0" t="0" r="0" b="0"/>
          <wp:wrapNone/>
          <wp:docPr id="2" name="_x005F_x0000_i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5F_x0000_i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323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4c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f974cb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f974cb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f974cb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f974cb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Heading5Char"/>
    <w:uiPriority w:val="9"/>
    <w:unhideWhenUsed/>
    <w:qFormat/>
    <w:rsid w:val="00f974cb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f974cb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 w:customStyle="1">
    <w:name w:val="Heading 7"/>
    <w:basedOn w:val="Normal"/>
    <w:next w:val="Normal"/>
    <w:link w:val="Heading7Char"/>
    <w:uiPriority w:val="9"/>
    <w:unhideWhenUsed/>
    <w:qFormat/>
    <w:rsid w:val="00f974cb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f974cb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f974cb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f974cb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f974cb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f974cb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f974cb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f974cb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f974cb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f974cb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f974cb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f974cb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sid w:val="00f974cb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f974cb"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sid w:val="00f974cb"/>
    <w:rPr>
      <w:i/>
    </w:rPr>
  </w:style>
  <w:style w:type="character" w:styleId="Style6" w:customStyle="1">
    <w:name w:val="Выделенная цитата Знак"/>
    <w:link w:val="IntenseQuote"/>
    <w:uiPriority w:val="30"/>
    <w:qFormat/>
    <w:rsid w:val="00f974cb"/>
    <w:rPr>
      <w:i/>
    </w:rPr>
  </w:style>
  <w:style w:type="character" w:styleId="HeaderChar" w:customStyle="1">
    <w:name w:val="Header Char"/>
    <w:basedOn w:val="DefaultParagraphFont"/>
    <w:uiPriority w:val="99"/>
    <w:qFormat/>
    <w:rsid w:val="00f974cb"/>
    <w:rPr/>
  </w:style>
  <w:style w:type="character" w:styleId="FooterChar" w:customStyle="1">
    <w:name w:val="Footer Char"/>
    <w:basedOn w:val="DefaultParagraphFont"/>
    <w:uiPriority w:val="99"/>
    <w:qFormat/>
    <w:rsid w:val="00f974cb"/>
    <w:rPr/>
  </w:style>
  <w:style w:type="character" w:styleId="CaptionChar" w:customStyle="1">
    <w:name w:val="Caption Char"/>
    <w:uiPriority w:val="99"/>
    <w:qFormat/>
    <w:rsid w:val="00f974cb"/>
    <w:rPr/>
  </w:style>
  <w:style w:type="character" w:styleId="FootnoteTextChar" w:customStyle="1">
    <w:name w:val="Footnote Text Char"/>
    <w:uiPriority w:val="99"/>
    <w:qFormat/>
    <w:rsid w:val="00f974cb"/>
    <w:rPr>
      <w:sz w:val="18"/>
    </w:rPr>
  </w:style>
  <w:style w:type="character" w:styleId="Style7" w:customStyle="1">
    <w:name w:val="Текст концевой сноски Знак"/>
    <w:uiPriority w:val="99"/>
    <w:qFormat/>
    <w:rsid w:val="00f974cb"/>
    <w:rPr>
      <w:sz w:val="20"/>
    </w:rPr>
  </w:style>
  <w:style w:type="character" w:styleId="Style8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974cb"/>
    <w:rPr>
      <w:vertAlign w:val="superscript"/>
    </w:rPr>
  </w:style>
  <w:style w:type="character" w:styleId="Strong">
    <w:name w:val="Strong"/>
    <w:basedOn w:val="DefaultParagraphFont"/>
    <w:uiPriority w:val="22"/>
    <w:qFormat/>
    <w:rsid w:val="00f974cb"/>
    <w:rPr>
      <w:b/>
      <w:bCs/>
    </w:rPr>
  </w:style>
  <w:style w:type="character" w:styleId="Style9" w:customStyle="1">
    <w:name w:val="Верхний колонтитул Знак"/>
    <w:basedOn w:val="DefaultParagraphFont"/>
    <w:uiPriority w:val="99"/>
    <w:qFormat/>
    <w:rsid w:val="00f974cb"/>
    <w:rPr/>
  </w:style>
  <w:style w:type="character" w:styleId="Style10" w:customStyle="1">
    <w:name w:val="Нижний колонтитул Знак"/>
    <w:basedOn w:val="DefaultParagraphFont"/>
    <w:uiPriority w:val="99"/>
    <w:qFormat/>
    <w:rsid w:val="00f974cb"/>
    <w:rPr/>
  </w:style>
  <w:style w:type="character" w:styleId="Style11">
    <w:name w:val="Интернет-ссылка"/>
    <w:basedOn w:val="DefaultParagraphFont"/>
    <w:uiPriority w:val="99"/>
    <w:unhideWhenUsed/>
    <w:rsid w:val="00f974cb"/>
    <w:rPr>
      <w:color w:val="0563C1" w:themeColor="hyperlink"/>
      <w:u w:val="single"/>
    </w:rPr>
  </w:style>
  <w:style w:type="character" w:styleId="Style12" w:customStyle="1">
    <w:name w:val="Текст сноски Знак"/>
    <w:basedOn w:val="DefaultParagraphFont"/>
    <w:uiPriority w:val="99"/>
    <w:semiHidden/>
    <w:qFormat/>
    <w:rsid w:val="00f974cb"/>
    <w:rPr>
      <w:sz w:val="20"/>
      <w:szCs w:val="20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f974cb"/>
    <w:rPr>
      <w:vertAlign w:val="superscript"/>
    </w:rPr>
  </w:style>
  <w:style w:type="character" w:styleId="Style14" w:customStyle="1">
    <w:name w:val="Подзаголовок Знак"/>
    <w:basedOn w:val="DefaultParagraphFont"/>
    <w:uiPriority w:val="11"/>
    <w:qFormat/>
    <w:rsid w:val="00f974cb"/>
    <w:rPr>
      <w:rFonts w:eastAsia="Arial" w:eastAsiaTheme="minorEastAsia"/>
      <w:color w:val="5A5A5A" w:themeColor="text1" w:themeTint="a5"/>
      <w:spacing w:val="1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74c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f974cb"/>
    <w:rPr>
      <w:sz w:val="20"/>
      <w:szCs w:val="20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sid w:val="00f974cb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f974cb"/>
    <w:rPr>
      <w:rFonts w:ascii="Segoe UI" w:hAnsi="Segoe UI" w:cs="Segoe UI"/>
      <w:sz w:val="18"/>
      <w:szCs w:val="18"/>
    </w:rPr>
  </w:style>
  <w:style w:type="character" w:styleId="Style18">
    <w:name w:val="Символ сноски"/>
    <w:qFormat/>
    <w:rPr/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 w:customStyle="1">
    <w:name w:val="Caption"/>
    <w:basedOn w:val="Normal"/>
    <w:next w:val="Normal"/>
    <w:uiPriority w:val="35"/>
    <w:semiHidden/>
    <w:unhideWhenUsed/>
    <w:qFormat/>
    <w:rsid w:val="00f974cb"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>
    <w:name w:val="Title"/>
    <w:basedOn w:val="Normal"/>
    <w:next w:val="Normal"/>
    <w:link w:val="Style5"/>
    <w:uiPriority w:val="10"/>
    <w:qFormat/>
    <w:rsid w:val="00f974cb"/>
    <w:pPr>
      <w:spacing w:before="300" w:after="200"/>
      <w:contextualSpacing/>
    </w:pPr>
    <w:rPr>
      <w:sz w:val="48"/>
      <w:szCs w:val="48"/>
    </w:rPr>
  </w:style>
  <w:style w:type="paragraph" w:styleId="Quote">
    <w:name w:val="Quote"/>
    <w:basedOn w:val="Normal"/>
    <w:next w:val="Normal"/>
    <w:link w:val="21"/>
    <w:uiPriority w:val="29"/>
    <w:qFormat/>
    <w:rsid w:val="00f974cb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6"/>
    <w:uiPriority w:val="30"/>
    <w:qFormat/>
    <w:rsid w:val="00f974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6">
    <w:name w:val="Endnote Text"/>
    <w:basedOn w:val="Normal"/>
    <w:link w:val="Style7"/>
    <w:uiPriority w:val="99"/>
    <w:semiHidden/>
    <w:unhideWhenUsed/>
    <w:rsid w:val="00f974cb"/>
    <w:pPr>
      <w:spacing w:lineRule="auto" w:line="240" w:before="0" w:after="0"/>
    </w:pPr>
    <w:rPr>
      <w:sz w:val="20"/>
    </w:rPr>
  </w:style>
  <w:style w:type="paragraph" w:styleId="11">
    <w:name w:val="TOC 1"/>
    <w:basedOn w:val="Normal"/>
    <w:next w:val="Normal"/>
    <w:uiPriority w:val="39"/>
    <w:unhideWhenUsed/>
    <w:rsid w:val="00f974cb"/>
    <w:pPr>
      <w:spacing w:before="0" w:after="57"/>
    </w:pPr>
    <w:rPr/>
  </w:style>
  <w:style w:type="paragraph" w:styleId="22">
    <w:name w:val="TOC 2"/>
    <w:basedOn w:val="Normal"/>
    <w:next w:val="Normal"/>
    <w:uiPriority w:val="39"/>
    <w:unhideWhenUsed/>
    <w:rsid w:val="00f974cb"/>
    <w:pPr>
      <w:spacing w:before="0" w:after="57"/>
      <w:ind w:left="283" w:hanging="0"/>
    </w:pPr>
    <w:rPr/>
  </w:style>
  <w:style w:type="paragraph" w:styleId="31">
    <w:name w:val="TOC 3"/>
    <w:basedOn w:val="Normal"/>
    <w:next w:val="Normal"/>
    <w:uiPriority w:val="39"/>
    <w:unhideWhenUsed/>
    <w:rsid w:val="00f974cb"/>
    <w:pPr>
      <w:spacing w:before="0" w:after="57"/>
      <w:ind w:left="567" w:hanging="0"/>
    </w:pPr>
    <w:rPr/>
  </w:style>
  <w:style w:type="paragraph" w:styleId="41">
    <w:name w:val="TOC 4"/>
    <w:basedOn w:val="Normal"/>
    <w:next w:val="Normal"/>
    <w:uiPriority w:val="39"/>
    <w:unhideWhenUsed/>
    <w:rsid w:val="00f974cb"/>
    <w:pPr>
      <w:spacing w:before="0" w:after="57"/>
      <w:ind w:left="850" w:hanging="0"/>
    </w:pPr>
    <w:rPr/>
  </w:style>
  <w:style w:type="paragraph" w:styleId="51">
    <w:name w:val="TOC 5"/>
    <w:basedOn w:val="Normal"/>
    <w:next w:val="Normal"/>
    <w:uiPriority w:val="39"/>
    <w:unhideWhenUsed/>
    <w:rsid w:val="00f974cb"/>
    <w:pPr>
      <w:spacing w:before="0" w:after="57"/>
      <w:ind w:left="1134" w:hanging="0"/>
    </w:pPr>
    <w:rPr/>
  </w:style>
  <w:style w:type="paragraph" w:styleId="61">
    <w:name w:val="TOC 6"/>
    <w:basedOn w:val="Normal"/>
    <w:next w:val="Normal"/>
    <w:uiPriority w:val="39"/>
    <w:unhideWhenUsed/>
    <w:rsid w:val="00f974cb"/>
    <w:pPr>
      <w:spacing w:before="0" w:after="57"/>
      <w:ind w:left="1417" w:hanging="0"/>
    </w:pPr>
    <w:rPr/>
  </w:style>
  <w:style w:type="paragraph" w:styleId="71">
    <w:name w:val="TOC 7"/>
    <w:basedOn w:val="Normal"/>
    <w:next w:val="Normal"/>
    <w:uiPriority w:val="39"/>
    <w:unhideWhenUsed/>
    <w:rsid w:val="00f974cb"/>
    <w:pPr>
      <w:spacing w:before="0" w:after="57"/>
      <w:ind w:left="1701" w:hanging="0"/>
    </w:pPr>
    <w:rPr/>
  </w:style>
  <w:style w:type="paragraph" w:styleId="81">
    <w:name w:val="TOC 8"/>
    <w:basedOn w:val="Normal"/>
    <w:next w:val="Normal"/>
    <w:uiPriority w:val="39"/>
    <w:unhideWhenUsed/>
    <w:rsid w:val="00f974cb"/>
    <w:pPr>
      <w:spacing w:before="0" w:after="57"/>
      <w:ind w:left="1984" w:hanging="0"/>
    </w:pPr>
    <w:rPr/>
  </w:style>
  <w:style w:type="paragraph" w:styleId="91">
    <w:name w:val="TOC 9"/>
    <w:basedOn w:val="Normal"/>
    <w:next w:val="Normal"/>
    <w:uiPriority w:val="39"/>
    <w:unhideWhenUsed/>
    <w:rsid w:val="00f974cb"/>
    <w:pPr>
      <w:spacing w:before="0" w:after="57"/>
      <w:ind w:left="2268" w:hanging="0"/>
    </w:pPr>
    <w:rPr/>
  </w:style>
  <w:style w:type="paragraph" w:styleId="Style27">
    <w:name w:val="Index Heading"/>
    <w:basedOn w:val="Style20"/>
    <w:pPr/>
    <w:rPr/>
  </w:style>
  <w:style w:type="paragraph" w:styleId="Style28">
    <w:name w:val="TOC Heading"/>
    <w:uiPriority w:val="39"/>
    <w:unhideWhenUsed/>
    <w:rsid w:val="00f974c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f974cb"/>
    <w:pPr>
      <w:spacing w:before="0" w:after="0"/>
    </w:pPr>
    <w:rPr/>
  </w:style>
  <w:style w:type="paragraph" w:styleId="NoSpacing">
    <w:name w:val="No Spacing"/>
    <w:uiPriority w:val="1"/>
    <w:qFormat/>
    <w:rsid w:val="00f974c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Колонтитул"/>
    <w:basedOn w:val="Normal"/>
    <w:qFormat/>
    <w:pPr/>
    <w:rPr/>
  </w:style>
  <w:style w:type="paragraph" w:styleId="Style30" w:customStyle="1">
    <w:name w:val="Header"/>
    <w:basedOn w:val="Normal"/>
    <w:link w:val="Style9"/>
    <w:uiPriority w:val="99"/>
    <w:unhideWhenUsed/>
    <w:rsid w:val="00f974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 w:customStyle="1">
    <w:name w:val="Footer"/>
    <w:basedOn w:val="Normal"/>
    <w:link w:val="Style10"/>
    <w:uiPriority w:val="99"/>
    <w:unhideWhenUsed/>
    <w:rsid w:val="00f974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28bf8a64b8551e1msonormal" w:customStyle="1">
    <w:name w:val="228bf8a64b8551e1msonormal"/>
    <w:basedOn w:val="Normal"/>
    <w:qFormat/>
    <w:rsid w:val="00f974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2">
    <w:name w:val="Footnote Text"/>
    <w:basedOn w:val="Normal"/>
    <w:link w:val="Style12"/>
    <w:uiPriority w:val="99"/>
    <w:semiHidden/>
    <w:unhideWhenUsed/>
    <w:rsid w:val="00f974cb"/>
    <w:pPr>
      <w:spacing w:lineRule="auto" w:line="240" w:before="0" w:after="0"/>
    </w:pPr>
    <w:rPr>
      <w:sz w:val="20"/>
      <w:szCs w:val="20"/>
    </w:rPr>
  </w:style>
  <w:style w:type="paragraph" w:styleId="Style33">
    <w:name w:val="Subtitle"/>
    <w:basedOn w:val="Normal"/>
    <w:next w:val="Normal"/>
    <w:link w:val="Style14"/>
    <w:uiPriority w:val="11"/>
    <w:qFormat/>
    <w:rsid w:val="00f974cb"/>
    <w:pPr/>
    <w:rPr>
      <w:rFonts w:eastAsia="Arial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974cb"/>
    <w:pPr>
      <w:spacing w:lineRule="auto" w:line="276"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f974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f974cb"/>
    <w:pPr/>
    <w:rPr>
      <w:b/>
      <w:bCs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f974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974cb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974cb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974cb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974cb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74cb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74cb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74cb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74cb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74cb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f974cb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af">
    <w:name w:val="Table Grid"/>
    <w:basedOn w:val="a1"/>
    <w:uiPriority w:val="39"/>
    <w:rsid w:val="00f974cb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ales@smarta.life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ales@smarta.lif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LibreOffice/7.3.2.2$Windows_X86_64 LibreOffice_project/49f2b1bff42cfccbd8f788c8dc32c1c309559be0</Application>
  <AppVersion>15.0000</AppVersion>
  <Pages>6</Pages>
  <Words>3330</Words>
  <Characters>21610</Characters>
  <CharactersWithSpaces>24227</CharactersWithSpaces>
  <Paragraphs>732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2022-07-11T13:18:00Z</dcterms:created>
  <dc:creator>Учетная запись Майкрософт</dc:creator>
  <dc:description/>
  <dc:language>ru-RU</dc:language>
  <cp:lastModifiedBy/>
  <dcterms:modified xsi:type="dcterms:W3CDTF">2022-09-27T15:40:42Z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